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40 vom 6. November 2024</w:t>
      </w:r>
    </w:p>
    <w:p>
      <w:r>
        <w:t>VS Kantonsgericht, 2024-11-06, FR</w:t>
      </w:r>
    </w:p>
    <w:p>
      <w:r>
        <w:rPr>
          <w:b/>
        </w:rPr>
        <w:t xml:space="preserve">Quelle: </w:t>
      </w:r>
      <w:r>
        <w:t>https://mcp.opencaselaw.ch/entscheid/vs_gerichte_A1 24 40</w:t>
      </w:r>
    </w:p>
    <w:p>
      <w:r>
        <w:t>FR: VS_GERICHTE A1 24 40 du 6 novembre 2024</w:t>
      </w:r>
    </w:p>
    <w:p>
      <w:r>
        <w:t>IT: VS_GERICHTE A1 24 40 del 6 novembre 2024</w:t>
      </w:r>
    </w:p>
    <w:p>
      <w:pPr>
        <w:pStyle w:val="Heading2"/>
      </w:pPr>
      <w:r>
        <w:t>Regeste</w:t>
      </w:r>
    </w:p>
    <w:p>
      <w:r>
        <w:t>A1 24 40 ARRÊT DU 6 NOVEMBRE 2024 Tribunal cantonal du Valais Cour de droit public Composition: Christophe Joris, président ; Frédéric Fellay et Dr Thierry Schnyder, juges ; Raquel Rio, greffière, en la cause COMMUNE DE X _________, recourante contre CONSEIL D'ETAT DU VALAIS, autorité attaquée, et Y _________ SA, tiers concerné, représentée par Maître Marc-André Mabillard, avocat, à Leytron (construction &amp; urbanisme) recours de droit administratif contre la décision du 17 janvier 2024</w:t>
      </w:r>
    </w:p>
    <w:p>
      <w:pPr>
        <w:pStyle w:val="Heading2"/>
      </w:pPr>
      <w:r>
        <w:t>Erwägungen</w:t>
      </w:r>
    </w:p>
    <w:p>
      <w:r>
        <w:rPr>
          <w:b/>
        </w:rPr>
        <w:t>E. 1.1</w:t>
      </w:r>
    </w:p>
    <w:p>
      <w:r>
        <w:t>Aux termes de l'article 44 al. 1 let. b LPJA, applicable à la procédure de recours de droit administratif par renvoi de l'article 80 al. 1 let. a LPJA, a qualité pour recourir toute personne, organisation ou autorité que la loi autorise à recourir. Selon l’article 156 al. 1 LCo, les collectivités de droit public et leurs associations ont qualité pour recourir auprès du Tribunal cantonal lorsqu'elles sont atteintes par une décision et qu'elles possèdent un intérêt digne de protection à ce que cette décision soit annulée ou modifiée. D'après la jurisprudence, une commune peut recourir aussi bien lorsque la décision lui porte une atteinte semblable à celle dont pâtirait un particulier que lorsqu'elle est atteinte dans son autonomie en qualité de collectivité défendant ses prérogatives de puissance publique dans les limites de sa juridiction (art. 50 al. 1 Cst. ; art. 2 et 3 LCo ; ACDP A1 23 50 du 18 janvier 2024 consid. 1.1).</w:t>
      </w:r>
    </w:p>
    <w:p>
      <w:r>
        <w:rPr>
          <w:b/>
        </w:rPr>
        <w:t>E. 1.2</w:t>
      </w:r>
    </w:p>
    <w:p>
      <w:r>
        <w:t>En l’occurrence, le Conseil d’Etat qualifie l’autorisation de construire du 8 mars 2023 de décision partielle et estime que la qualité pour recourir de la commune est « douteuse », car cette dernière reste libre de statuer à nouveau sur le nombre de places de parc dans les décisions partielles qu’elle rendra ultérieurement. La Cour constate que la décision du 8 mars 2023, qui fait suite à la régularisation mise à l’enquête publique le xx.xx.xxxx, approuve, sous conditions, tous les objets mentionnés dans cette publication (modification des façades et des aménagements intérieurs, création de mezzanines et de locaux sanitaires ; cf. p. 52 à 61 du dossier). Par conséquent, cette décision met fin à la procédure engagée devant la commune et constitue donc une décision finale, contrairement à ce qu’affirme le Conseil d’Etat (BOVAY, Procédure administrative, 2ème éd. 2015, p. 357). S’il ressort du dossier que d’autres décisions communales ont été rendues dans cette affaire (cf. allégués nos 6 et 8 du mémoire de recours, p. 3 du dossier), elles concernent vraisemblablement le volet pénal du dossier. Il en va de même des « futures décisions » évoquées par la commune au chiffre 3 de sa décision du 8 mars 2023 (« la commune notifiera par lettre séparée les décisions pénales administratives », p. 56 du dossier). Cela étant, l’affirmation du Conseil d’Etat selon laquelle la commune « a choisi de rendre plusieurs décisions partielles dans la même cause » est erronée dans la mesure où, d’une part, la décision du 8 mars 2023 ne constitue pas une décision partielle et, d’autre part, aucun élément ne permet de retenir que la commune rendra d’autres décisions administratives dans cette affaire.</w:t>
      </w:r>
    </w:p>
    <w:p>
      <w:r>
        <w:t>- 7 - Le Conseil d’Etat conteste également l’intérêt digne de protection de la commune à recourir car l’annulation de l’autorisation de construire repose uniquement sur des motifs formels. La Cour relève que le ch. 1 du dispositif de la décision contestée a admis partiellement le recours et a annulé les conditions afférentes aux places de stationnement, à leur marquage et à l’interdiction de stockage extérieur. Ainsi, sans la contestation de la commune, la décision litigieuse revêtirait un caractère définitif quant à l’annulation de ces conditions, ce qui attente manifestement à l’autonomie de la commune. Dans ce cadre, la motivation du prononcé du Conseil d’Etat n’est pas relevante. En tant que responsable sur son territoire de l'aménagement local et de la police des constructions (art. 6 let. c LCo), matière où, dans les limites du droit fédéral et cantonal, les collectivités publiques sont autonomes (RVJ 2013 p. 9 consid. 1), la commune de X _________ dispose donc d’un intérêt digne de protection à contester la décision litigieuse et à requérir son contrôle juridictionnel. Partant, sa qualité pour recourir est donnée.</w:t>
      </w:r>
    </w:p>
    <w:p>
      <w:r>
        <w:rPr>
          <w:b/>
        </w:rPr>
        <w:t>E. 1.3</w:t>
      </w:r>
    </w:p>
    <w:p>
      <w:r>
        <w:t>Les autres conditions de recevabilité sont remplies (art. 72, 78 al. 1 let. a, 80 al. 1 let. b-c, 46 et 48 LPJA) étant précisé que la conclusion n° 4 qui demande à l’autorité de céans de confirmer la décision rendue par le Conseil communal de X _________ le 8 mars 2023 est irrecevable. En effet, on rappellera qu’en vertu de l'effet dévolutif complet du recours administratif, la décision du Conseil d’Etat du 17 janvier 2024 s’est substituée de plein droit à celle de la première instance (art. 47 al. 1, 60 al.1 et 72 LPJA). Elle est ainsi seule attaquable céans. La conclusion précitée ne pourra donc être examinée qu’en ce sens qu’elle vise en réalité le prononcé administratif du Conseil d’Etat du 17 janvier 2024 (art. 72 LPJA).</w:t>
      </w:r>
    </w:p>
    <w:p>
      <w:r>
        <w:rPr>
          <w:b/>
        </w:rPr>
        <w:t>E. 2</w:t>
      </w:r>
    </w:p>
    <w:p>
      <w:r>
        <w:t>A titre de moyen de preuve, la recourante a requis l’édition de l’intégralité du dossier. L’autorité attaquée ayant déposé l’entier de ces documents, la demande de la recourante en ce sens est satisfaite (art. 80 al. 1 let. d, 56 al. 1 et 17 al. 2 LPJA). Quant aux « pièces à déposer réservées », il s’agit d’une clause de style prohibée par la LPJA et le CPC (arrêt du Tribunal fédéral 1C_415/2022 du 11 juin 2024 consid. 4.4). Y _________ SA (ci-après : la constructrice) a quant à elle sollicité l’édition par le Conseil d’Etat du dossier de la « procédure liée au recours du 3 février 2023 déposé contre la décision du Conseil municipal de X _________ du 30 janvier 2023 » à l’occasion de laquelle elle avait eu « l’occasion d’expliquer au Conseil d’Etat en quoi la situation prévalant lors du prononcé du 8 mars 2023 était identique à celle qui existait sous l’égide de la précédente décision ». La Cour peine à concevoir pourquoi la constructrice n’a pas d’emblée déposé les pièces du dossier en question dont elle se prévaut et qui se trouvent en sa</w:t>
      </w:r>
    </w:p>
    <w:p>
      <w:r>
        <w:t>- 8 - possession. Quoi qu’il en soit, cet élément n’est pas utile à la résolution du présent cas qui porte sur la légalité de l’annulation de trois conditions de l’autorisation de construire du 8 mars 2023. La constructrice a également enjoint la commune de transmettre des photographies actualisées de la parcelle litigieuse. La Cour relève que la constructrice a annexé à sa détermination du 26 avril 2024 trois photographies représentant la halle litigieuse en date du 25 avril 2024. Par conséquent, on ne voit pas en quoi la transmission de photographies analogues par la commune se révèlerait nécessaire. Dans tous les cas, ce moyen de preuve n’est pas utile à l’examen de la présente cause et la Cour renonce dès lors à l’administrer.</w:t>
      </w:r>
    </w:p>
    <w:p>
      <w:r>
        <w:rPr>
          <w:b/>
        </w:rPr>
        <w:t>E. 3</w:t>
      </w:r>
    </w:p>
    <w:p>
      <w:r>
        <w:t>Dans un premier grief, la commune soutient avoir valablement motivé sa décision et reproche au Conseil d’Etat d’avoir constaté les faits de manière inexacte. En effet, de son point de vue, le projet régularisé le 8 mars 2023 comporte diverses transformations (modification des façades et des aménagements intérieurs, création de mezzanines et de locaux sanitaires) qui ont entraîné une augmentation de la surface intérieure de la halle et donc du nombre de places de parc exigibles au sens de l’art. 21 RCC. La commune considère que le Conseil d’Etat, en écartant ce raisonnement, a contrevenu à l’art. 21 RCC et a violé l’autonomie communale. Elle estime également que, du moment où la constructrice n’a pas contesté l’exigence des 23 places de parc mentionnée dans la décision du 11 avril 2022, celle-ci a implicitement admis qu’une augmentation de la surface intérieure conduit à une augmentation du nombre de places de parc exigibles. La commune argue enfin que le Conseil d’Etat devait procéder lui-même au calcul du nombre de stationnements nécessaires.</w:t>
      </w:r>
    </w:p>
    <w:p>
      <w:r>
        <w:rPr>
          <w:b/>
        </w:rPr>
        <w:t>E. 3.1.1</w:t>
      </w:r>
    </w:p>
    <w:p>
      <w:r>
        <w:t>La jurisprudence a déduit du droit d'être entendu (art. 29 al. 2 Cst.) le devoir pour l’autorité de motiver sa décision, afin que le justiciable puisse la comprendre et exercer ses droits de recours à bon escient (ATF 142 II 154 consid. 4.2). Pour satisfaire à cette exigence, il suffit que l'autorité mentionne au moins brièvement les motifs qui l'ont guidée et sur lesquels elle a fondé sa décision (ATF 148 III 30 consid. 3.1), de manière à ce que l'intéressé puisse se rendre compte de la portée de celle-ci et l'attaquer en connaissance de cause (ATF 143 IV 40 consid. 3.4.3).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w:t>
      </w:r>
    </w:p>
    <w:p>
      <w:r>
        <w:t>- 9 - décision (ATF 141 V 557 consid. 3.2.1). En revanche, une autorité commet un déni de justice formel prohibé par l'art. 29 al. 2 Cst. si elle omet de se prononcer sur des griefs qui présentent une certaine pertinence ou de prendre en considération des allégués et arguments importants pour la décision à rendre (ATF 141 V 557 consid. 3.2.1 ; arrêt du Tribunal fédéral 9C_94/2023 du 29 janvier 2024 consid. 4.1 ; ACDP A1 24 8 du 16 septembre 2024 consid. 3.1).</w:t>
      </w:r>
    </w:p>
    <w:p>
      <w:r>
        <w:rPr>
          <w:b/>
        </w:rPr>
        <w:t>E. 3.1.2</w:t>
      </w:r>
    </w:p>
    <w:p>
      <w:r>
        <w:t>L’art. 21 RCC a la teneur suivante : « Art. 21 : Stationnement des véhicules a) Le stationnement des véhicules sur la voie publique est interdit en dehors des zones prévues à cet usage. b) Conformément à la loi cantonale sur les routes, chaque propriétaire est tenu de prévoir sur son terrain un nombre de places de stationnement ou garages suffisant pour assurer le parcage de ses propres véhicules et de ceux de ses clients ou visiteurs. II sera notamment exigé :</w:t>
      </w:r>
    </w:p>
    <w:p>
      <w:r>
        <w:t>- habitation : 1 place par logement pour 80 m2 de surface habitable - bureau :</w:t>
      </w:r>
    </w:p>
    <w:p>
      <w:r>
        <w:t>1 place pour 60 m2 de surface de travail - commerce :</w:t>
      </w:r>
    </w:p>
    <w:p>
      <w:r>
        <w:t>1 place pour 60 m2 de surface de vente - atelier :</w:t>
      </w:r>
    </w:p>
    <w:p>
      <w:r>
        <w:t>2 places pour 3 postes de travail - hôtel :</w:t>
      </w:r>
    </w:p>
    <w:p>
      <w:r>
        <w:t>1 place pour 4 lits - café-restaurant : 1 place pour 4 m2 de surface d'exploitation - industrie, artisanat, supermarché : selon le cas en faisant référence aux normes de I'union des professionnels suisses de la route Une ou plusieurs places supplémentaires seront exigées pour toute surface habitable excédant les minimas ci-dessus. c) Les places et accès aménagés en fonction de cette exigence sur terrain privé doivent demeurer affectés à cet usage aussi longtemps qu'ils répondent à un besoin. L'affectation des places de parc doit être garantie par la constitution d'une servitude inscrite au RF en faveur de la Commune. Pour garantir les obligations du maître de I’ouvrage, la Commune dispose d'une hypothèque légale directe, valable sans inscription au RF. d) Lors de transformations, si le nombre de places exigibles est augmenté, les places supplémentaires doivent être mises à disposition en plus de la situation acquise. e) Les places requises doivent être aménagées avant I'octroi du permis d'habiter ou d'exploiter. »</w:t>
      </w:r>
    </w:p>
    <w:p>
      <w:r>
        <w:rPr>
          <w:b/>
        </w:rPr>
        <w:t>E. 3.2.1</w:t>
      </w:r>
    </w:p>
    <w:p>
      <w:r>
        <w:t>En l’espèce, en se fondant sur le considérant 3.1 de l’arrêt du Tribunal fédéral 2C_23/2009 du 25 mai 2009, lequel rappelle les exigences de motivation d’une décision (cf. ég. supra consid. 3.1), la commune affirme que l’autorisation de construire du 8 mars 2023 était suffisamment motivée quant aux conditions afférentes aux places de stationnement. Le chiffre 2 de cette décision impose à la constructrice l’aménagement</w:t>
      </w:r>
    </w:p>
    <w:p>
      <w:r>
        <w:t>- 10 - de 34 places de parc et leur marquage au sol ou par panneau (cf. p. 56 du dossier). A ce propos, la commune s’est contentée de citer l’article 21 RCC sans retranscrire le calcul l’ayant menée à retenir ce chiffre. Pour l’exigence du marquage au sol, la commune a uniquement indiqué que « le droit exclusif par marquage au sol ou panneau devra clairement figurer in situ » (cf. p. 56 du dossier). Ce procédé ne répond manifestement pas aux exigences de motivation susmentionnées étant précisé que jusqu’alors le nombre de places réclamées à la constructrice s’élevait à 23, sans délimitation particulière. Par conséquent, la commune se devait d’autant plus de justifier pour quelle raison elle exigeait désormais de la constructrice des places supplémentaires et leur marquage, ce qu’elle n’a manifestement pas fait.</w:t>
      </w:r>
    </w:p>
    <w:p>
      <w:r>
        <w:rPr>
          <w:b/>
        </w:rPr>
        <w:t>E. 3.2.2</w:t>
      </w:r>
    </w:p>
    <w:p>
      <w:r>
        <w:t>La Cour constate que la décision du 11 avril 2022 mentionnait une surface brute de plancher (SP) de 1058.48 m2 et que la décision du 8 mars 2023 ne comporte aucune indication relative aux surfaces existantes et « nouvelles ». La commune se borne à exposer céans que les modifications approuvées le 8 mars 2023 ont entraîné « une modification de la surface intérieure » et donc une augmentation du nombre de places de parc exigibles (cf. p. 7 du dossier). Alors même que l’autorité précédente lui a principalement reproché un défaut de motivation, la commune n’a à aucun moment articulé de chiffre ou fourni de preuve concernant l’augmentation alléguée. Aussi, cette assertion n’est pas démontrée. En outre, elle n’énonce pas pour quel motif une éventuelle augmentation de la surface intérieure de la halle commande d’augmenter le nombre de places de stationnement. Aussi, la commune ne peut non plus pas prétendre que la constructrice, en ne s’opposant pas à l’autorisation du 11 avril 2022, a admis qu’une augmentation de la surface intérieure mène à des stationnements supplémentaires. En effet, cette décision a fixé à 23 le nombre de places de parc sans autre précision et la constructrice pouvait donc valablement « acquiescer » aux stationnements exigés sans pour autant approuver le raisonnement dont se prévaut désormais la commune. Dans tous les cas, les éléments dont se prévaut la commune ne permettent pas d’établir le nombre de places de parc nécessaires au sens de l’art. 21 RCC. En effet, celui-ci présuppose de déterminer en premier lieu l’affectation des locaux concernés (habitation, bureau, commerce, atelier, hôtel, café- restaurant, industrie, artisanat, supermarché).</w:t>
      </w:r>
    </w:p>
    <w:p>
      <w:r>
        <w:rPr>
          <w:b/>
        </w:rPr>
        <w:t>E. 3.2.3</w:t>
      </w:r>
    </w:p>
    <w:p>
      <w:r>
        <w:t>La halle litigieuse a été construite à des fins de stockage (cf. p. 11 du dossier) et les transformations autorisées le 11 avril 2022 (suppression du couvert, création de boxes dans la halle et modification des façades) n’ont pas modifié l’usage du bâtiment (cf. p. 20-25 du dossier). Dans sa demande d’autorisation de construire déposée le 9</w:t>
      </w:r>
    </w:p>
    <w:p>
      <w:r>
        <w:t>- 11 - juillet 2022 (mise en conformité), la constructrice n’a pas fait état d’un changement d’affectation (cf. bordereau des pièces déposées par la commune, pièce n° 9). Par ailleurs, la décision du 8 mars 2023 précise sous le titre « Affectation » que « l’affectation des boxes sera uniquement dédiée à du stockage et du dépôt (…) et que la mise en place d’autres activités (atelier mécanique, commerce, restaurant, etc.) est soumise à une autorisation de construire » (cf. p. 55 du dossier). L’usage des locaux n’a donc a priori pas été modifié par les transformations réalisées. Cela étant, avant de rendre sa décision du 8 mars 2023, la commune a constaté que d’autres activités étaient exercées dans la halle, ce qui a donné lieu à une procédure de police des constructions (cf. bordereau des pièces déposées par le Conseil d’Etat, p. 118 ; cf. ég. p. 90 ss du dossier). Elle a considéré cet élément dans la condition exigeant la réalisation des 34 places de parc (« la Commune de X _________ savait à ce moment-là que Y _________ SA affectait ses locaux à d’autres que de l’entreposage si bien que le nombre de places de parc exigées devait également prendre en considération ces éléments », p. 7 du dossier). Une autorisation de construire est un acte administratif qui lève dans un cas individuel et concret une interdiction générale d’agir et cette décision est en principe rendue de manière autonome et à l’issue d’une procédure dédiée. Son but est préventif : il permet de vérifier que le projet de construction considéré respecte les exigences légales, à savoir le régime d’affectation de la zone et les règles de construction (ZUFFEREY, Droit public de la construction : sources et fondements, aménagement du territoire, règles de construction, police de la construction, protection de l'équilibre écologique, procédure, 2024, nos 826-827, p. 437). Par conséquent, la commune devait examiner strictement le projet mis à l’enquête publique le xx.xx.xxxx conformément aux informations et plans soumis à son approbation. Dans la fixation des conditions, elle ne pouvait pas se baser sur d’éventuelles autres activités non autorisées. En outre, le raisonnement de la commune apparaît contradictoire dès lors qu’elle a fixé le nombre de places de parc sur la base des potentielles autres activités exercées sur le site mais qu’elle a dans le même temps restreint l’utilisation de la halle à du stockage. En réalité, la commune devait déterminer l’affectation des locaux sur la base des éléments soumis à son approbation/autorisés puisque ce paramètre doit être arrêté avant de calculer le nombre de stationnements exigibles en application de l’art. 21 RCC, ce qu’elle n’a précisément pas fait (« l’affectation finale de la parcelle n’est à ce stade toujours pas connue. En effet, l’affectation semble changer en fonction des locataires, comme indiqué précédemment [atelier mécanique, commerce, dépôts, etc.] de sorte que notre Administration n’a d’autres choix que de vérifier les exigences les plus contraignantes</w:t>
      </w:r>
    </w:p>
    <w:p>
      <w:r>
        <w:t>- 12 - soient respectées dans le calcul des places de parc », cf. bordereau des pièces déposées par le Conseil d’Etat, p. 118).</w:t>
      </w:r>
    </w:p>
    <w:p>
      <w:r>
        <w:rPr>
          <w:b/>
        </w:rPr>
        <w:t>E. 3.2.4</w:t>
      </w:r>
    </w:p>
    <w:p>
      <w:r>
        <w:t>Par conséquent, c’est à bon droit que le Conseil d’Etat a annulé la condition relative à l’aménagement des 34 places de parc. En corollaire, l’annulation de la condition relative au marquage desdites places doit également être confirmée.</w:t>
      </w:r>
    </w:p>
    <w:p>
      <w:r>
        <w:rPr>
          <w:b/>
        </w:rPr>
        <w:t>E. 3.2.5</w:t>
      </w:r>
    </w:p>
    <w:p>
      <w:r>
        <w:t>S’il fallait considérer que l’exigence du marquage vise également les places de parc exigées par l’autorisation du 11 avril 2022, cette condition devrait également être annulée. En effet, les droits acquis de la recourante, qui s’est vu imposer, le 11 avril 2022, l’aménagement de 23 places de parc sans délimitation au sol (cf. p. 24 du dossier), empêchent à première vue une obligation ultérieure du marquage desdites places sans motifs valables. Or, la commune justifie cette condition par les diverses activités exercées dans la halle (« dans la mesure où ce qui était une halle au début est devenue une halle de boxes d’entreposage et est à présent un lieu où plusieurs affectations différentes se déroulent (sans autorisation), il est indispensable que les places de parc soient organisées de manière à ce que les locataires et les usagers sachent où ils doivent et peuvent se parquer », cf. p. 8 du dossier). Comme examiné supra (cf. consid. 3.2.3), la commune ne peut toutefois pas se prévaloir d’éléments étrangers au dossier pour justifier les conditions imposées dans son autorisation. Mal fondé, le grief de la commune doit être rejeté.</w:t>
      </w:r>
    </w:p>
    <w:p>
      <w:r>
        <w:rPr>
          <w:b/>
        </w:rPr>
        <w:t>E. 3.3</w:t>
      </w:r>
    </w:p>
    <w:p>
      <w:r>
        <w:t>Il ne revient ni à l’autorité précédente ni à la juridiction de céans de déterminer l’affectation des locaux et les informations nécessaires au sens de l’art. 21 RCC (surface habitable/de travail/de vente/postes de travail, etc.) lesquelles doivent être établies par la commune. Cette informalité ne peut pas s’assimiler à une simple inadvertance qu’il serait aisé de réparer en procédure de recours.</w:t>
      </w:r>
    </w:p>
    <w:p>
      <w:r>
        <w:rPr>
          <w:b/>
        </w:rPr>
        <w:t>E. 4</w:t>
      </w:r>
    </w:p>
    <w:p>
      <w:r>
        <w:t>Dans un second grief, la commune soutient que le Conseil d’Etat a violé le droit en retenant que l’interdiction du stockage à l’extérieur ne constituait pas un simple rappel à la loi. En effet, de son point de vue, elle était en droit d’imposer cette condition en se fondant sur les articles 6 al. 1, 12 al. 1, 14, 17 al. 1 et 23 al. 1 de son règlement sur les déchets (RGD) et l’art. 28 al. 2 et 3 de son règlement de police (RP), car elle avait constaté l’exploitation d’un atelier mécanique et l’entreposage de véhicules à l’état d’épave sur la parcelle litigieuse et ces activités non autorisées nuisaient à la perméabilité du sol.</w:t>
      </w:r>
    </w:p>
    <w:p>
      <w:r>
        <w:t>- 13 -</w:t>
      </w:r>
    </w:p>
    <w:p>
      <w:r>
        <w:rPr>
          <w:b/>
        </w:rPr>
        <w:t>E. 4.1</w:t>
      </w:r>
    </w:p>
    <w:p>
      <w:r>
        <w:t>L’art. 6 al. 1 RGD prévoit que tout dépôt de déchets de toute nature en dehors des installations d'élimination autorisées ou en dehors des endroits et des horaires définis, notamment sur le domaine public (« littering »), est interdit. Les articles 12 al. 1, 14 et 17 al. 1 RGD précisent que les sacs [taxés] doivent être déposés, soit dans les conteneurs spécifiques prévus à cet effet, soit déposés aux endroits de dépôt et selon les horaires fixés par le Conseil communal (art. 12 al. 1) ; que les déchets encombrants doivent être déposés dans les conteneurs ou tout autre système prévu à cet effet à la déchetterie ou aux endroits et aux horaires désignés par l'autorité (art. 14) et que l’aluminium et le fer blanc (boîtes de conserves, canettes, etc.) doivent être déposés dans le conteneur ou tout autre système prévu à cet effet dans les écopoints ou à la déchetterie (art. 17 al. 1). Enfin, l’art. 23 al. 1 RGD indique que la commune exige le tri des déchets de chantier ainsi que leur prise en charge, leur recyclage et leur élimination conformément à la législation en la matière, aux frais de leur détenteur, dans le cadre de l'autorisation de construire. L’art. 28 al. 2 et 3 RP précise qu’il est interdit de déposer sur le domaine public les déblais de neige provenant de propriétés privées, les matériaux de démolition et de construction, les débris provenant de déménagement ou de nettoyage de jardins, de pelouses, de taille des arbres, etc., à moins que l'autorité n'ait prévu un endroit à cet effet et que toute personne qui salit la voie publique est tenue de la remettre immédiatement en état à défaut de quoi l’autorité ordonne le nettoyage, aux frais du responsable, sans préjudice des peines encourues.</w:t>
      </w:r>
    </w:p>
    <w:p>
      <w:r>
        <w:rPr>
          <w:b/>
        </w:rPr>
        <w:t>E. 4.2</w:t>
      </w:r>
    </w:p>
    <w:p>
      <w:r>
        <w:t>En l’occurrence, la Cour constate tout d’abord que les articles mentionnés par la commune ne sont pas pertinents dans cette affaire. En effet, la commune reproche à la constructrice le dépôt de déchets sur sa parcelle privée et l’article 28 al. 2 et 3 RP concerne l’interdiction de l’entreposage de différents objets sur le domaine public. Quant aux articles 6 al. 1, 12 al. 1, 14 et 17 al. 1 RGD, ils s’appliquent aux déchets urbains et l’article 23 al. 1 aux déchets de chantier (pour la définition de déchets urbains et de chantier, cf. art. 3 let. a et e de l’ordonnance du 4 décembre 2015 sur la limitation et l’élimination des déchets [OLED]). Or, la commune mentionne des véhicules hors d’usage qui, s’ils remplissent les conditions d’un déchet (pour la notion de déchet, cf. l’art. 7 al. 6 LPE ; cf. ég. Service de la protection de l’environnement (SPE), Aide à l’exécution : élimination des dépôts illicites de véhicules, ch. 1.4 et 1.5), sont assimilés à des déchets soumis à contrôle (Annexe 1 chiffre 5201 de l’OLED ; cf. ég. OFEV, Rapports selon l’OLED, Un module de l’aide à l’exécution relative à l’ordonnance sur la limitation et l’élimination des déchets, 2019, p. 11 et 29).</w:t>
      </w:r>
    </w:p>
    <w:p>
      <w:r>
        <w:t>- 14 - L’article du RCC applicable aux épaves de véhicules est en réalité l’art. 25 RCC qui prévoit notamment que l’entreposage de véhicules ou d’éléments de véhicules est interdit sur le domaine privé lorsque ces objets créent un danger concret pour les eaux ou l’environnement. Si la commune considérait que cet article avait été enfreint, elle pouvait sanctionner cette infraction au RCC conformément à l’art. 39 RGD et exiger la mise en conformité aux conditions de l’art. 38 RGD. Il n’est d’ailleurs pas exclu qu’elle ait ouvert des procédures en ce sens au vu notamment de la teneur du chiffre 3 de l’autorisation de construire du 8 mars 2023 (« s’agissant de la régularisation d’une situation illégale, la Commune notifiera par lettre séparée les décisions pénales administratives », cf. p. 56 du dossier). Quoi qu’il en soit, ces articles ne permettaient pas à la commune d’imposer, dans le cadre d’une autorisation de construire portant sur une halle destinée à du stockage, purement et simplement une interdiction du stockage à l’extérieur sans autre explication. En effet, cette condition constitue une atteinte à la propriété de la constructrice. Elle doit ainsi répondre aux réquisits de l’art. 36 Cst., soit être fondée sur une base légale, être justifiée par un intérêt public et être proportionnée au but visé. Or, force est de constater que la commune ne parvient à démontrer le respect d’aucune de ces trois conditions cumulatives. Dès lors, c’est à bon droit que le Conseil d’Etat a annulé la condition relative à l’interdiction de stockage du matériel ou des machines propres aux entreprises à l’extérieur des locaux. Partant, le grief tombe à faux.</w:t>
      </w:r>
    </w:p>
    <w:p>
      <w:r>
        <w:rPr>
          <w:b/>
        </w:rPr>
        <w:t>E. 5</w:t>
      </w:r>
    </w:p>
    <w:p>
      <w:r>
        <w:t>Au vu de ce qui précède, le recours de la commune de X _________ doit être rejeté (art. 80 al. 1 let. e et 60 al. 1 LPJA).</w:t>
      </w:r>
    </w:p>
    <w:p>
      <w:r>
        <w:rPr>
          <w:b/>
        </w:rPr>
        <w:t>E. 6.1</w:t>
      </w:r>
    </w:p>
    <w:p>
      <w:r>
        <w:t>Les frais sont remis (art. 89 al. 4 LPJA).</w:t>
      </w:r>
    </w:p>
    <w:p>
      <w:r>
        <w:rPr>
          <w:b/>
        </w:rPr>
        <w:t>E. 6.2</w:t>
      </w:r>
    </w:p>
    <w:p>
      <w:r>
        <w:t>Y _________ SA, qui a pris une conclusion en ce sens et obtient gain de cause, a droit à des dépens. Eu égard à l’activité déployée par son mandataire, qui a principalement consisté en la prise de connaissance du recours et en la rédaction d’une détermination du 26 avril 2024 (deux pages), ils seront arrêtés à 1100 fr. (TVA et débours compris) et mis à la charge de la recourante (art. 91 al. 1 LPJA ; art. 4, 29 et 39 LTar).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